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88B" w:rsidRDefault="0042188B" w:rsidP="00925841">
      <w:pPr>
        <w:autoSpaceDE w:val="0"/>
        <w:autoSpaceDN w:val="0"/>
        <w:adjustRightInd w:val="0"/>
        <w:spacing w:line="400" w:lineRule="exact"/>
        <w:jc w:val="center"/>
        <w:rPr>
          <w:rFonts w:ascii="標楷體" w:eastAsia="標楷體" w:hAnsi="標楷體"/>
          <w:b/>
          <w:kern w:val="0"/>
          <w:sz w:val="32"/>
          <w:szCs w:val="28"/>
        </w:rPr>
      </w:pPr>
    </w:p>
    <w:p w:rsidR="00925841" w:rsidRPr="00587A4E" w:rsidRDefault="00925841" w:rsidP="00925841">
      <w:pPr>
        <w:autoSpaceDE w:val="0"/>
        <w:autoSpaceDN w:val="0"/>
        <w:adjustRightInd w:val="0"/>
        <w:spacing w:line="400" w:lineRule="exact"/>
        <w:jc w:val="center"/>
        <w:rPr>
          <w:rFonts w:ascii="標楷體" w:eastAsia="標楷體" w:hAnsi="標楷體"/>
          <w:b/>
          <w:kern w:val="0"/>
          <w:sz w:val="32"/>
          <w:szCs w:val="28"/>
        </w:rPr>
      </w:pPr>
      <w:r w:rsidRPr="00587A4E">
        <w:rPr>
          <w:rFonts w:ascii="標楷體" w:eastAsia="標楷體" w:hAnsi="標楷體" w:hint="eastAsia"/>
          <w:b/>
          <w:kern w:val="0"/>
          <w:sz w:val="32"/>
          <w:szCs w:val="28"/>
        </w:rPr>
        <w:t>推廣教育中心與</w:t>
      </w:r>
      <w:r w:rsidR="00BB3320" w:rsidRPr="00587A4E">
        <w:rPr>
          <w:rFonts w:ascii="標楷體" w:eastAsia="標楷體" w:hAnsi="標楷體" w:hint="eastAsia"/>
          <w:b/>
          <w:kern w:val="0"/>
          <w:sz w:val="32"/>
          <w:szCs w:val="28"/>
        </w:rPr>
        <w:t>校</w:t>
      </w:r>
      <w:r w:rsidR="00E76F70" w:rsidRPr="00587A4E">
        <w:rPr>
          <w:rFonts w:ascii="標楷體" w:eastAsia="標楷體" w:hAnsi="標楷體" w:hint="eastAsia"/>
          <w:b/>
          <w:kern w:val="0"/>
          <w:sz w:val="32"/>
          <w:szCs w:val="28"/>
        </w:rPr>
        <w:t>內</w:t>
      </w:r>
      <w:r w:rsidR="00BB3320" w:rsidRPr="00587A4E">
        <w:rPr>
          <w:rFonts w:ascii="標楷體" w:eastAsia="標楷體" w:hAnsi="標楷體" w:hint="eastAsia"/>
          <w:b/>
          <w:kern w:val="0"/>
          <w:sz w:val="32"/>
          <w:szCs w:val="28"/>
        </w:rPr>
        <w:t>各單位</w:t>
      </w:r>
      <w:r w:rsidRPr="00587A4E">
        <w:rPr>
          <w:rFonts w:ascii="標楷體" w:eastAsia="標楷體" w:hAnsi="標楷體" w:hint="eastAsia"/>
          <w:b/>
          <w:kern w:val="0"/>
          <w:sz w:val="32"/>
          <w:szCs w:val="28"/>
        </w:rPr>
        <w:t>共同開設推廣教育課程合作方式暨經費分配辦法(全條文)</w:t>
      </w:r>
    </w:p>
    <w:p w:rsidR="00925841" w:rsidRPr="00587A4E" w:rsidRDefault="00925841" w:rsidP="00925841">
      <w:pPr>
        <w:autoSpaceDE w:val="0"/>
        <w:autoSpaceDN w:val="0"/>
        <w:adjustRightInd w:val="0"/>
        <w:spacing w:line="400" w:lineRule="exact"/>
        <w:jc w:val="center"/>
        <w:rPr>
          <w:rFonts w:ascii="標楷體" w:eastAsia="標楷體" w:hAnsi="標楷體"/>
          <w:b/>
          <w:kern w:val="0"/>
          <w:sz w:val="32"/>
          <w:szCs w:val="28"/>
        </w:rPr>
      </w:pPr>
    </w:p>
    <w:p w:rsidR="00925841" w:rsidRPr="00587A4E" w:rsidRDefault="00925841" w:rsidP="00925841">
      <w:pPr>
        <w:pStyle w:val="Default"/>
        <w:spacing w:line="240" w:lineRule="exact"/>
        <w:jc w:val="right"/>
        <w:rPr>
          <w:rFonts w:hAnsi="新細明體"/>
          <w:color w:val="auto"/>
          <w:sz w:val="20"/>
          <w:szCs w:val="20"/>
        </w:rPr>
      </w:pPr>
      <w:r w:rsidRPr="00587A4E">
        <w:rPr>
          <w:rFonts w:hAnsi="新細明體"/>
          <w:color w:val="auto"/>
          <w:sz w:val="20"/>
          <w:szCs w:val="20"/>
        </w:rPr>
        <w:t>91年6月第九次行政會議</w:t>
      </w:r>
      <w:r w:rsidR="00587A4E" w:rsidRPr="00587A4E">
        <w:rPr>
          <w:rFonts w:hAnsi="新細明體" w:hint="eastAsia"/>
          <w:color w:val="auto"/>
          <w:sz w:val="20"/>
          <w:szCs w:val="20"/>
        </w:rPr>
        <w:t>修正通過</w:t>
      </w:r>
    </w:p>
    <w:p w:rsidR="00925841" w:rsidRPr="00587A4E" w:rsidRDefault="00925841" w:rsidP="00925841">
      <w:pPr>
        <w:pStyle w:val="Default"/>
        <w:spacing w:line="240" w:lineRule="exact"/>
        <w:jc w:val="right"/>
        <w:rPr>
          <w:rFonts w:hAnsi="新細明體"/>
          <w:color w:val="auto"/>
          <w:sz w:val="20"/>
          <w:szCs w:val="20"/>
        </w:rPr>
      </w:pPr>
      <w:r w:rsidRPr="00587A4E">
        <w:rPr>
          <w:rFonts w:hAnsi="新細明體"/>
          <w:color w:val="auto"/>
          <w:sz w:val="20"/>
          <w:szCs w:val="20"/>
        </w:rPr>
        <w:t>96年9月第一次行政會議</w:t>
      </w:r>
      <w:r w:rsidR="00587A4E" w:rsidRPr="00587A4E">
        <w:rPr>
          <w:rFonts w:hAnsi="新細明體" w:hint="eastAsia"/>
          <w:color w:val="auto"/>
          <w:sz w:val="20"/>
          <w:szCs w:val="20"/>
        </w:rPr>
        <w:t>修正通過</w:t>
      </w:r>
    </w:p>
    <w:p w:rsidR="00925841" w:rsidRPr="00587A4E" w:rsidRDefault="00925841" w:rsidP="00925841">
      <w:pPr>
        <w:pStyle w:val="Default"/>
        <w:spacing w:line="240" w:lineRule="exact"/>
        <w:jc w:val="right"/>
        <w:rPr>
          <w:rFonts w:hAnsi="新細明體"/>
          <w:color w:val="auto"/>
          <w:sz w:val="20"/>
          <w:szCs w:val="20"/>
        </w:rPr>
      </w:pPr>
      <w:r w:rsidRPr="00587A4E">
        <w:rPr>
          <w:rFonts w:hAnsi="新細明體"/>
          <w:color w:val="auto"/>
          <w:sz w:val="20"/>
          <w:szCs w:val="20"/>
        </w:rPr>
        <w:t>101.09.05.101</w:t>
      </w:r>
      <w:r w:rsidRPr="00587A4E">
        <w:rPr>
          <w:rFonts w:hAnsi="新細明體" w:hint="eastAsia"/>
          <w:color w:val="auto"/>
          <w:sz w:val="20"/>
          <w:szCs w:val="20"/>
        </w:rPr>
        <w:t>學年度第</w:t>
      </w:r>
      <w:r w:rsidRPr="00587A4E">
        <w:rPr>
          <w:rFonts w:hAnsi="新細明體"/>
          <w:color w:val="auto"/>
          <w:sz w:val="20"/>
          <w:szCs w:val="20"/>
        </w:rPr>
        <w:t>1</w:t>
      </w:r>
      <w:r w:rsidRPr="00587A4E">
        <w:rPr>
          <w:rFonts w:hAnsi="新細明體" w:hint="eastAsia"/>
          <w:color w:val="auto"/>
          <w:sz w:val="20"/>
          <w:szCs w:val="20"/>
        </w:rPr>
        <w:t>次行政會議</w:t>
      </w:r>
      <w:r w:rsidR="00587A4E" w:rsidRPr="00587A4E">
        <w:rPr>
          <w:rFonts w:hAnsi="新細明體" w:hint="eastAsia"/>
          <w:color w:val="auto"/>
          <w:sz w:val="20"/>
          <w:szCs w:val="20"/>
        </w:rPr>
        <w:t>修正通過</w:t>
      </w:r>
    </w:p>
    <w:p w:rsidR="00925841" w:rsidRPr="00587A4E" w:rsidRDefault="00925841" w:rsidP="00925841">
      <w:pPr>
        <w:pStyle w:val="Default"/>
        <w:spacing w:line="240" w:lineRule="exact"/>
        <w:jc w:val="right"/>
        <w:rPr>
          <w:rFonts w:hAnsi="新細明體"/>
          <w:color w:val="auto"/>
          <w:sz w:val="20"/>
          <w:szCs w:val="20"/>
        </w:rPr>
      </w:pPr>
      <w:r w:rsidRPr="00587A4E">
        <w:rPr>
          <w:rFonts w:hAnsi="新細明體"/>
          <w:color w:val="auto"/>
          <w:sz w:val="20"/>
          <w:szCs w:val="20"/>
        </w:rPr>
        <w:t>1</w:t>
      </w:r>
      <w:r w:rsidRPr="00587A4E">
        <w:rPr>
          <w:rFonts w:hAnsi="新細明體" w:hint="eastAsia"/>
          <w:color w:val="auto"/>
          <w:sz w:val="20"/>
          <w:szCs w:val="20"/>
        </w:rPr>
        <w:t>02</w:t>
      </w:r>
      <w:r w:rsidRPr="00587A4E">
        <w:rPr>
          <w:rFonts w:hAnsi="新細明體"/>
          <w:color w:val="auto"/>
          <w:sz w:val="20"/>
          <w:szCs w:val="20"/>
        </w:rPr>
        <w:t>.</w:t>
      </w:r>
      <w:r w:rsidRPr="00587A4E">
        <w:rPr>
          <w:rFonts w:hAnsi="新細明體" w:hint="eastAsia"/>
          <w:color w:val="auto"/>
          <w:sz w:val="20"/>
          <w:szCs w:val="20"/>
        </w:rPr>
        <w:t>10</w:t>
      </w:r>
      <w:r w:rsidRPr="00587A4E">
        <w:rPr>
          <w:rFonts w:hAnsi="新細明體"/>
          <w:color w:val="auto"/>
          <w:sz w:val="20"/>
          <w:szCs w:val="20"/>
        </w:rPr>
        <w:t>.0</w:t>
      </w:r>
      <w:r w:rsidRPr="00587A4E">
        <w:rPr>
          <w:rFonts w:hAnsi="新細明體" w:hint="eastAsia"/>
          <w:color w:val="auto"/>
          <w:sz w:val="20"/>
          <w:szCs w:val="20"/>
        </w:rPr>
        <w:t>3</w:t>
      </w:r>
      <w:r w:rsidRPr="00587A4E">
        <w:rPr>
          <w:rFonts w:hAnsi="新細明體"/>
          <w:color w:val="auto"/>
          <w:sz w:val="20"/>
          <w:szCs w:val="20"/>
        </w:rPr>
        <w:t>.10</w:t>
      </w:r>
      <w:r w:rsidRPr="00587A4E">
        <w:rPr>
          <w:rFonts w:hAnsi="新細明體" w:hint="eastAsia"/>
          <w:color w:val="auto"/>
          <w:sz w:val="20"/>
          <w:szCs w:val="20"/>
        </w:rPr>
        <w:t>2學年度第2次行政會議</w:t>
      </w:r>
      <w:r w:rsidR="00587A4E" w:rsidRPr="00587A4E">
        <w:rPr>
          <w:rFonts w:hAnsi="新細明體" w:hint="eastAsia"/>
          <w:color w:val="auto"/>
          <w:sz w:val="20"/>
          <w:szCs w:val="20"/>
        </w:rPr>
        <w:t>修正通過</w:t>
      </w:r>
    </w:p>
    <w:p w:rsidR="00925841" w:rsidRPr="00587A4E" w:rsidRDefault="00925841" w:rsidP="00925841">
      <w:pPr>
        <w:pStyle w:val="Default"/>
        <w:spacing w:line="240" w:lineRule="exact"/>
        <w:jc w:val="right"/>
        <w:rPr>
          <w:rFonts w:hAnsi="新細明體"/>
          <w:color w:val="auto"/>
          <w:sz w:val="20"/>
          <w:szCs w:val="20"/>
        </w:rPr>
      </w:pPr>
      <w:r w:rsidRPr="00587A4E">
        <w:rPr>
          <w:rFonts w:hAnsi="新細明體" w:hint="eastAsia"/>
          <w:color w:val="auto"/>
          <w:sz w:val="20"/>
          <w:szCs w:val="20"/>
        </w:rPr>
        <w:t>109.12.10 109學年度第4次行政會議修正通過</w:t>
      </w:r>
    </w:p>
    <w:p w:rsidR="00587A4E" w:rsidRPr="00587A4E" w:rsidRDefault="00587A4E" w:rsidP="00587A4E">
      <w:pPr>
        <w:pStyle w:val="Default"/>
        <w:wordWrap w:val="0"/>
        <w:spacing w:line="240" w:lineRule="exact"/>
        <w:jc w:val="right"/>
        <w:rPr>
          <w:rFonts w:hAnsi="新細明體"/>
          <w:color w:val="auto"/>
          <w:sz w:val="20"/>
          <w:szCs w:val="20"/>
        </w:rPr>
      </w:pPr>
      <w:r w:rsidRPr="00587A4E">
        <w:rPr>
          <w:rFonts w:hAnsi="新細明體" w:hint="eastAsia"/>
          <w:color w:val="auto"/>
          <w:sz w:val="20"/>
          <w:szCs w:val="20"/>
        </w:rPr>
        <w:t>110.06.10 109學年度第9次行政會議修正通過</w:t>
      </w:r>
    </w:p>
    <w:p w:rsidR="00925841" w:rsidRPr="00587A4E" w:rsidRDefault="00925841" w:rsidP="00925841">
      <w:pPr>
        <w:pStyle w:val="Default"/>
        <w:spacing w:beforeLines="50" w:before="180"/>
        <w:jc w:val="center"/>
        <w:rPr>
          <w:rFonts w:hAnsi="新細明體"/>
          <w:b/>
          <w:color w:val="auto"/>
        </w:rPr>
      </w:pPr>
      <w:r w:rsidRPr="00587A4E">
        <w:rPr>
          <w:rFonts w:hAnsi="新細明體" w:hint="eastAsia"/>
          <w:b/>
          <w:color w:val="auto"/>
        </w:rPr>
        <w:t>宗旨</w:t>
      </w:r>
    </w:p>
    <w:p w:rsidR="00925841" w:rsidRPr="00587A4E" w:rsidRDefault="00925841" w:rsidP="00925841">
      <w:pPr>
        <w:pStyle w:val="Default"/>
        <w:ind w:left="992" w:hangingChars="413" w:hanging="992"/>
        <w:rPr>
          <w:rFonts w:hAnsi="新細明體"/>
          <w:color w:val="auto"/>
        </w:rPr>
      </w:pPr>
      <w:r w:rsidRPr="00587A4E">
        <w:rPr>
          <w:rFonts w:hAnsi="新細明體" w:hint="eastAsia"/>
          <w:b/>
          <w:color w:val="auto"/>
        </w:rPr>
        <w:t>第一條：</w:t>
      </w:r>
      <w:r w:rsidRPr="00587A4E">
        <w:rPr>
          <w:rFonts w:hAnsi="新細明體" w:hint="eastAsia"/>
          <w:color w:val="auto"/>
        </w:rPr>
        <w:t>為推展成人教育暨有效運用本校教學資源，統籌推廣</w:t>
      </w:r>
      <w:r w:rsidRPr="00587A4E">
        <w:rPr>
          <w:rFonts w:hint="eastAsia"/>
          <w:color w:val="auto"/>
        </w:rPr>
        <w:t>教育中心</w:t>
      </w:r>
      <w:r w:rsidRPr="00587A4E">
        <w:rPr>
          <w:rFonts w:hAnsi="新細明體" w:hint="eastAsia"/>
          <w:color w:val="auto"/>
        </w:rPr>
        <w:t>與各院、系、所、或相關行政、教學</w:t>
      </w:r>
      <w:proofErr w:type="gramStart"/>
      <w:r w:rsidRPr="00587A4E">
        <w:rPr>
          <w:rFonts w:hAnsi="新細明體" w:hint="eastAsia"/>
          <w:color w:val="auto"/>
        </w:rPr>
        <w:t>研</w:t>
      </w:r>
      <w:proofErr w:type="gramEnd"/>
      <w:r w:rsidRPr="00587A4E">
        <w:rPr>
          <w:rFonts w:hAnsi="新細明體" w:hint="eastAsia"/>
          <w:color w:val="auto"/>
        </w:rPr>
        <w:t>單位（簡稱：</w:t>
      </w:r>
      <w:r w:rsidR="00614E1A" w:rsidRPr="00587A4E">
        <w:rPr>
          <w:rFonts w:hAnsi="新細明體" w:hint="eastAsia"/>
          <w:color w:val="auto"/>
        </w:rPr>
        <w:t>各</w:t>
      </w:r>
      <w:r w:rsidRPr="00587A4E">
        <w:rPr>
          <w:rFonts w:hAnsi="新細明體" w:hint="eastAsia"/>
          <w:color w:val="auto"/>
        </w:rPr>
        <w:t>單位</w:t>
      </w:r>
      <w:proofErr w:type="gramStart"/>
      <w:r w:rsidRPr="00587A4E">
        <w:rPr>
          <w:rFonts w:hAnsi="新細明體" w:hint="eastAsia"/>
          <w:color w:val="auto"/>
        </w:rPr>
        <w:t>）</w:t>
      </w:r>
      <w:proofErr w:type="gramEnd"/>
      <w:r w:rsidRPr="00587A4E">
        <w:rPr>
          <w:rFonts w:hAnsi="新細明體" w:hint="eastAsia"/>
          <w:color w:val="auto"/>
        </w:rPr>
        <w:t>合作開設推廣教育課程之業務分工暨經費分配，特擬定本辦法。</w:t>
      </w:r>
    </w:p>
    <w:p w:rsidR="00925841" w:rsidRPr="00587A4E" w:rsidRDefault="00925841" w:rsidP="00925841">
      <w:pPr>
        <w:pStyle w:val="Default"/>
        <w:spacing w:beforeLines="50" w:before="180"/>
        <w:jc w:val="center"/>
        <w:rPr>
          <w:rFonts w:hAnsi="新細明體"/>
          <w:b/>
          <w:color w:val="auto"/>
        </w:rPr>
      </w:pPr>
      <w:r w:rsidRPr="00587A4E">
        <w:rPr>
          <w:rFonts w:hAnsi="新細明體" w:hint="eastAsia"/>
          <w:b/>
          <w:color w:val="auto"/>
        </w:rPr>
        <w:t>課程分類原則</w:t>
      </w:r>
    </w:p>
    <w:p w:rsidR="00925841" w:rsidRPr="00587A4E" w:rsidRDefault="00925841" w:rsidP="00925841">
      <w:pPr>
        <w:pStyle w:val="Default"/>
        <w:ind w:left="980" w:hangingChars="408" w:hanging="980"/>
        <w:rPr>
          <w:rFonts w:hAnsi="新細明體"/>
          <w:color w:val="auto"/>
        </w:rPr>
      </w:pPr>
      <w:r w:rsidRPr="00587A4E">
        <w:rPr>
          <w:rFonts w:hAnsi="新細明體" w:hint="eastAsia"/>
          <w:b/>
          <w:color w:val="auto"/>
        </w:rPr>
        <w:t>第二條：</w:t>
      </w:r>
      <w:r w:rsidRPr="00587A4E">
        <w:rPr>
          <w:rFonts w:hAnsi="新細明體" w:hint="eastAsia"/>
          <w:color w:val="auto"/>
        </w:rPr>
        <w:t>推廣</w:t>
      </w:r>
      <w:r w:rsidRPr="00587A4E">
        <w:rPr>
          <w:rFonts w:hint="eastAsia"/>
          <w:color w:val="auto"/>
        </w:rPr>
        <w:t>教育中心</w:t>
      </w:r>
      <w:r w:rsidRPr="00587A4E">
        <w:rPr>
          <w:rFonts w:hAnsi="新細明體" w:hint="eastAsia"/>
          <w:color w:val="auto"/>
        </w:rPr>
        <w:t>與各</w:t>
      </w:r>
      <w:r w:rsidR="00614E1A" w:rsidRPr="00587A4E">
        <w:rPr>
          <w:rFonts w:hAnsi="新細明體" w:hint="eastAsia"/>
          <w:color w:val="auto"/>
        </w:rPr>
        <w:t>單位</w:t>
      </w:r>
      <w:r w:rsidRPr="00587A4E">
        <w:rPr>
          <w:rFonts w:hAnsi="新細明體" w:hint="eastAsia"/>
          <w:color w:val="auto"/>
        </w:rPr>
        <w:t>合作開設之推廣教育課程，依業務分工原則其課程分為【委辦課程】與【合辦課程】兩種。</w:t>
      </w:r>
    </w:p>
    <w:p w:rsidR="00925841" w:rsidRPr="00587A4E" w:rsidRDefault="00925841" w:rsidP="00925841">
      <w:pPr>
        <w:pStyle w:val="Default"/>
        <w:ind w:left="966" w:hangingChars="402" w:hanging="966"/>
        <w:rPr>
          <w:rFonts w:hAnsi="新細明體"/>
          <w:color w:val="auto"/>
        </w:rPr>
      </w:pPr>
      <w:r w:rsidRPr="00587A4E">
        <w:rPr>
          <w:rFonts w:hAnsi="新細明體" w:hint="eastAsia"/>
          <w:b/>
          <w:color w:val="auto"/>
        </w:rPr>
        <w:t>第三條：</w:t>
      </w:r>
      <w:r w:rsidRPr="00587A4E">
        <w:rPr>
          <w:rFonts w:hAnsi="新細明體" w:hint="eastAsia"/>
          <w:color w:val="auto"/>
        </w:rPr>
        <w:t>稱【委辦課程】者，</w:t>
      </w:r>
      <w:proofErr w:type="gramStart"/>
      <w:r w:rsidRPr="00587A4E">
        <w:rPr>
          <w:rFonts w:hAnsi="新細明體" w:hint="eastAsia"/>
          <w:color w:val="auto"/>
        </w:rPr>
        <w:t>謂由推廣</w:t>
      </w:r>
      <w:proofErr w:type="gramEnd"/>
      <w:r w:rsidRPr="00587A4E">
        <w:rPr>
          <w:rFonts w:hint="eastAsia"/>
          <w:color w:val="auto"/>
        </w:rPr>
        <w:t>教育中心</w:t>
      </w:r>
      <w:r w:rsidRPr="00587A4E">
        <w:rPr>
          <w:rFonts w:hAnsi="新細明體" w:hint="eastAsia"/>
          <w:color w:val="auto"/>
        </w:rPr>
        <w:t>或本校各</w:t>
      </w:r>
      <w:r w:rsidR="00614E1A" w:rsidRPr="00587A4E">
        <w:rPr>
          <w:rFonts w:hAnsi="新細明體" w:hint="eastAsia"/>
          <w:color w:val="auto"/>
        </w:rPr>
        <w:t>各單位</w:t>
      </w:r>
      <w:r w:rsidRPr="00587A4E">
        <w:rPr>
          <w:rFonts w:hAnsi="新細明體" w:hint="eastAsia"/>
          <w:color w:val="auto"/>
        </w:rPr>
        <w:t>接受公民營機關團體委託辦理「學分班」或「非學分班」之專案委訓教育訓練課程。</w:t>
      </w:r>
    </w:p>
    <w:p w:rsidR="00925841" w:rsidRPr="00587A4E" w:rsidRDefault="00925841" w:rsidP="00925841">
      <w:pPr>
        <w:pStyle w:val="Default"/>
        <w:ind w:left="951" w:hangingChars="396" w:hanging="951"/>
        <w:rPr>
          <w:rFonts w:hAnsi="新細明體"/>
          <w:b/>
          <w:color w:val="auto"/>
        </w:rPr>
      </w:pPr>
      <w:r w:rsidRPr="00587A4E">
        <w:rPr>
          <w:rFonts w:hAnsi="新細明體" w:hint="eastAsia"/>
          <w:b/>
          <w:color w:val="auto"/>
        </w:rPr>
        <w:t>第四條：</w:t>
      </w:r>
      <w:r w:rsidRPr="00587A4E">
        <w:rPr>
          <w:rFonts w:hAnsi="新細明體" w:hint="eastAsia"/>
          <w:color w:val="auto"/>
        </w:rPr>
        <w:t>稱【合辦課程】者，</w:t>
      </w:r>
      <w:proofErr w:type="gramStart"/>
      <w:r w:rsidRPr="00587A4E">
        <w:rPr>
          <w:rFonts w:hAnsi="新細明體" w:hint="eastAsia"/>
          <w:color w:val="auto"/>
        </w:rPr>
        <w:t>謂由各</w:t>
      </w:r>
      <w:proofErr w:type="gramEnd"/>
      <w:r w:rsidR="00614E1A" w:rsidRPr="00587A4E">
        <w:rPr>
          <w:rFonts w:hAnsi="新細明體" w:hint="eastAsia"/>
          <w:color w:val="auto"/>
        </w:rPr>
        <w:t>單位</w:t>
      </w:r>
      <w:r w:rsidRPr="00587A4E">
        <w:rPr>
          <w:rFonts w:hAnsi="新細明體" w:hint="eastAsia"/>
          <w:color w:val="auto"/>
        </w:rPr>
        <w:t>開設之所有學科均採隨</w:t>
      </w:r>
      <w:proofErr w:type="gramStart"/>
      <w:r w:rsidRPr="00587A4E">
        <w:rPr>
          <w:rFonts w:hAnsi="新細明體" w:hint="eastAsia"/>
          <w:color w:val="auto"/>
        </w:rPr>
        <w:t>班附</w:t>
      </w:r>
      <w:proofErr w:type="gramEnd"/>
      <w:r w:rsidRPr="00587A4E">
        <w:rPr>
          <w:rFonts w:hAnsi="新細明體" w:hint="eastAsia"/>
          <w:color w:val="auto"/>
        </w:rPr>
        <w:t>讀方式辦理「學分班」或「非學分班」教育訓練課程，並委託推廣</w:t>
      </w:r>
      <w:r w:rsidRPr="00587A4E">
        <w:rPr>
          <w:rFonts w:hint="eastAsia"/>
          <w:color w:val="auto"/>
        </w:rPr>
        <w:t>教育中心</w:t>
      </w:r>
      <w:r w:rsidRPr="00587A4E">
        <w:rPr>
          <w:rFonts w:hAnsi="新細明體" w:hint="eastAsia"/>
          <w:color w:val="auto"/>
        </w:rPr>
        <w:t>對外宣傳招生。推廣教育學分課程每</w:t>
      </w:r>
      <w:bookmarkStart w:id="0" w:name="_GoBack"/>
      <w:bookmarkEnd w:id="0"/>
      <w:r w:rsidRPr="00587A4E">
        <w:rPr>
          <w:rFonts w:hAnsi="新細明體" w:hint="eastAsia"/>
          <w:color w:val="auto"/>
        </w:rPr>
        <w:t>一科目招生人數，依教育部頒定之「</w:t>
      </w:r>
      <w:r w:rsidRPr="00587A4E">
        <w:rPr>
          <w:rFonts w:hAnsi="標楷體" w:hint="eastAsia"/>
          <w:bCs/>
          <w:color w:val="auto"/>
        </w:rPr>
        <w:t>專科以上學校推廣教育實施辦法</w:t>
      </w:r>
      <w:r w:rsidRPr="00587A4E">
        <w:rPr>
          <w:rFonts w:hAnsi="新細明體" w:hint="eastAsia"/>
          <w:color w:val="auto"/>
        </w:rPr>
        <w:t>」規定辦理。</w:t>
      </w:r>
    </w:p>
    <w:p w:rsidR="00925841" w:rsidRPr="00587A4E" w:rsidRDefault="00925841" w:rsidP="00925841">
      <w:pPr>
        <w:pStyle w:val="Default"/>
        <w:ind w:leftChars="-1" w:left="952" w:hangingChars="397" w:hanging="954"/>
        <w:rPr>
          <w:rFonts w:hAnsi="新細明體"/>
          <w:color w:val="auto"/>
        </w:rPr>
      </w:pPr>
      <w:r w:rsidRPr="00587A4E">
        <w:rPr>
          <w:rFonts w:hAnsi="新細明體" w:hint="eastAsia"/>
          <w:b/>
          <w:color w:val="auto"/>
        </w:rPr>
        <w:t>第五條：</w:t>
      </w:r>
      <w:r w:rsidRPr="00587A4E">
        <w:rPr>
          <w:rFonts w:hAnsi="新細明體" w:hint="eastAsia"/>
          <w:color w:val="auto"/>
        </w:rPr>
        <w:t>「學分班」係指依大學法規定開設之推廣教育學士程度學分班及碩士程度學分班。</w:t>
      </w:r>
    </w:p>
    <w:p w:rsidR="00925841" w:rsidRPr="00587A4E" w:rsidRDefault="00925841" w:rsidP="00925841">
      <w:pPr>
        <w:pStyle w:val="Default"/>
        <w:ind w:leftChars="396" w:left="950" w:firstLine="1"/>
        <w:rPr>
          <w:rFonts w:hAnsi="新細明體"/>
          <w:color w:val="auto"/>
        </w:rPr>
      </w:pPr>
      <w:r w:rsidRPr="00587A4E">
        <w:rPr>
          <w:rFonts w:hAnsi="新細明體" w:hint="eastAsia"/>
          <w:color w:val="auto"/>
        </w:rPr>
        <w:t>學士程度學分班每學期至多修習十八學分，碩士程度學分班每學期至多修習九學分；</w:t>
      </w:r>
    </w:p>
    <w:p w:rsidR="00925841" w:rsidRPr="00587A4E" w:rsidRDefault="00925841" w:rsidP="00925841">
      <w:pPr>
        <w:pStyle w:val="Default"/>
        <w:ind w:leftChars="396" w:left="950" w:firstLine="1"/>
        <w:rPr>
          <w:rFonts w:hAnsi="新細明體"/>
          <w:color w:val="auto"/>
        </w:rPr>
      </w:pPr>
      <w:r w:rsidRPr="00587A4E">
        <w:rPr>
          <w:rFonts w:hAnsi="新細明體" w:hint="eastAsia"/>
          <w:color w:val="auto"/>
        </w:rPr>
        <w:t>每一學分必須修滿十八小時，學員經考試及格後得依規定發給學分證明書；各班別招生人數以不超過五十人為原則。「非學分班」為各類專業研習課程學員修讀期滿經考試及格發給推廣教育結業證明書。</w:t>
      </w:r>
    </w:p>
    <w:p w:rsidR="00925841" w:rsidRPr="00587A4E" w:rsidRDefault="00925841" w:rsidP="00925841">
      <w:pPr>
        <w:pStyle w:val="Default"/>
        <w:spacing w:beforeLines="50" w:before="180"/>
        <w:jc w:val="center"/>
        <w:rPr>
          <w:rFonts w:hAnsi="新細明體"/>
          <w:b/>
          <w:color w:val="auto"/>
        </w:rPr>
      </w:pPr>
      <w:r w:rsidRPr="00587A4E">
        <w:rPr>
          <w:rFonts w:hAnsi="新細明體" w:hint="eastAsia"/>
          <w:b/>
          <w:color w:val="auto"/>
        </w:rPr>
        <w:t>業務分工原則</w:t>
      </w:r>
    </w:p>
    <w:p w:rsidR="00925841" w:rsidRPr="00587A4E" w:rsidRDefault="00925841" w:rsidP="00925841">
      <w:pPr>
        <w:pStyle w:val="Default"/>
        <w:ind w:left="992" w:hangingChars="413" w:hanging="992"/>
        <w:rPr>
          <w:rFonts w:hAnsi="新細明體"/>
          <w:color w:val="auto"/>
        </w:rPr>
      </w:pPr>
      <w:r w:rsidRPr="00587A4E">
        <w:rPr>
          <w:rFonts w:hAnsi="新細明體" w:hint="eastAsia"/>
          <w:b/>
          <w:color w:val="auto"/>
        </w:rPr>
        <w:t>第六條：</w:t>
      </w:r>
      <w:r w:rsidRPr="00587A4E">
        <w:rPr>
          <w:rFonts w:hAnsi="新細明體" w:hint="eastAsia"/>
          <w:color w:val="auto"/>
        </w:rPr>
        <w:t>【委辦課程】應以專案教育訓練課程方式辦理，由</w:t>
      </w:r>
      <w:r w:rsidR="00614E1A" w:rsidRPr="00587A4E">
        <w:rPr>
          <w:rFonts w:hAnsi="新細明體" w:hint="eastAsia"/>
          <w:color w:val="auto"/>
        </w:rPr>
        <w:t>各單位</w:t>
      </w:r>
      <w:r w:rsidRPr="00587A4E">
        <w:rPr>
          <w:rFonts w:hAnsi="新細明體" w:hint="eastAsia"/>
          <w:color w:val="auto"/>
        </w:rPr>
        <w:t>負責課程規劃、教學計劃、師資安排、場地設備使用管理與課程評量之執行，其餘相關行政文書業務、課程審查、學籍管理、證書製作、成績</w:t>
      </w:r>
      <w:proofErr w:type="gramStart"/>
      <w:r w:rsidRPr="00587A4E">
        <w:rPr>
          <w:rFonts w:hAnsi="新細明體" w:hint="eastAsia"/>
          <w:color w:val="auto"/>
        </w:rPr>
        <w:t>冊</w:t>
      </w:r>
      <w:proofErr w:type="gramEnd"/>
      <w:r w:rsidRPr="00587A4E">
        <w:rPr>
          <w:rFonts w:hAnsi="新細明體" w:hint="eastAsia"/>
          <w:color w:val="auto"/>
        </w:rPr>
        <w:t>保管等業務則由推廣</w:t>
      </w:r>
      <w:r w:rsidRPr="00587A4E">
        <w:rPr>
          <w:rFonts w:hint="eastAsia"/>
          <w:color w:val="auto"/>
        </w:rPr>
        <w:t>教育中心</w:t>
      </w:r>
      <w:r w:rsidRPr="00587A4E">
        <w:rPr>
          <w:rFonts w:hAnsi="新細明體" w:hint="eastAsia"/>
          <w:color w:val="auto"/>
        </w:rPr>
        <w:t>支援辦理。</w:t>
      </w:r>
    </w:p>
    <w:p w:rsidR="00925841" w:rsidRPr="00587A4E" w:rsidRDefault="00925841" w:rsidP="00925841">
      <w:pPr>
        <w:pStyle w:val="Default"/>
        <w:ind w:left="992" w:hangingChars="413" w:hanging="992"/>
        <w:rPr>
          <w:rFonts w:hAnsi="新細明體"/>
          <w:color w:val="auto"/>
        </w:rPr>
      </w:pPr>
      <w:r w:rsidRPr="00587A4E">
        <w:rPr>
          <w:rFonts w:hAnsi="新細明體" w:hint="eastAsia"/>
          <w:b/>
          <w:color w:val="auto"/>
        </w:rPr>
        <w:t>第七條：</w:t>
      </w:r>
      <w:r w:rsidRPr="00587A4E">
        <w:rPr>
          <w:rFonts w:hAnsi="標楷體" w:hint="eastAsia"/>
          <w:color w:val="auto"/>
        </w:rPr>
        <w:t>【合辦課程】係指由各</w:t>
      </w:r>
      <w:r w:rsidR="00614E1A" w:rsidRPr="00587A4E">
        <w:rPr>
          <w:rFonts w:hAnsi="新細明體" w:hint="eastAsia"/>
          <w:color w:val="auto"/>
        </w:rPr>
        <w:t>單位</w:t>
      </w:r>
      <w:r w:rsidRPr="00587A4E">
        <w:rPr>
          <w:rFonts w:hAnsi="標楷體" w:hint="eastAsia"/>
          <w:color w:val="auto"/>
        </w:rPr>
        <w:t>負責課程規劃、教學師資安排、入學後學分抵免辦法、課程問卷設計、場地設備使用管理，並配合推廣</w:t>
      </w:r>
      <w:r w:rsidRPr="00587A4E">
        <w:rPr>
          <w:rFonts w:hint="eastAsia"/>
          <w:color w:val="auto"/>
        </w:rPr>
        <w:t>教育中心</w:t>
      </w:r>
      <w:r w:rsidRPr="00587A4E">
        <w:rPr>
          <w:rFonts w:hAnsi="標楷體" w:hint="eastAsia"/>
          <w:color w:val="auto"/>
        </w:rPr>
        <w:t>之開課期別，於每年六月底或十一月底前送推廣</w:t>
      </w:r>
      <w:r w:rsidRPr="00587A4E">
        <w:rPr>
          <w:rFonts w:hint="eastAsia"/>
          <w:color w:val="auto"/>
        </w:rPr>
        <w:t>教育中心</w:t>
      </w:r>
      <w:r w:rsidRPr="00587A4E">
        <w:rPr>
          <w:rFonts w:hAnsi="標楷體" w:hint="eastAsia"/>
          <w:color w:val="auto"/>
        </w:rPr>
        <w:t>彙整，課程如有特殊因素，無法開放學分班之科目，經推廣教育課程審查委員會審查，通過後始得除外。學分班課程則由推廣</w:t>
      </w:r>
      <w:r w:rsidRPr="00587A4E">
        <w:rPr>
          <w:rFonts w:hint="eastAsia"/>
          <w:color w:val="auto"/>
        </w:rPr>
        <w:t>教育中心</w:t>
      </w:r>
      <w:r w:rsidRPr="00587A4E">
        <w:rPr>
          <w:rFonts w:hAnsi="標楷體" w:hint="eastAsia"/>
          <w:color w:val="auto"/>
        </w:rPr>
        <w:t>於課程結束後一個月內彙報教育部備查。其餘相關行政業務、招生宣傳廣告、學籍管理、證書製作、成績</w:t>
      </w:r>
      <w:proofErr w:type="gramStart"/>
      <w:r w:rsidRPr="00587A4E">
        <w:rPr>
          <w:rFonts w:hAnsi="標楷體" w:hint="eastAsia"/>
          <w:color w:val="auto"/>
        </w:rPr>
        <w:t>冊</w:t>
      </w:r>
      <w:proofErr w:type="gramEnd"/>
      <w:r w:rsidRPr="00587A4E">
        <w:rPr>
          <w:rFonts w:hAnsi="標楷體" w:hint="eastAsia"/>
          <w:color w:val="auto"/>
        </w:rPr>
        <w:t>保管及相關作業由推廣</w:t>
      </w:r>
      <w:r w:rsidRPr="00587A4E">
        <w:rPr>
          <w:rFonts w:hint="eastAsia"/>
          <w:color w:val="auto"/>
        </w:rPr>
        <w:t>教育中心</w:t>
      </w:r>
      <w:r w:rsidRPr="00587A4E">
        <w:rPr>
          <w:rFonts w:hAnsi="標楷體" w:hint="eastAsia"/>
          <w:color w:val="auto"/>
        </w:rPr>
        <w:t>統籌辦理。</w:t>
      </w:r>
    </w:p>
    <w:p w:rsidR="00925841" w:rsidRPr="00587A4E" w:rsidRDefault="00925841" w:rsidP="00925841">
      <w:pPr>
        <w:pStyle w:val="Default"/>
        <w:spacing w:beforeLines="50" w:before="180"/>
        <w:jc w:val="center"/>
        <w:rPr>
          <w:rFonts w:hAnsi="新細明體"/>
          <w:b/>
          <w:color w:val="auto"/>
        </w:rPr>
      </w:pPr>
      <w:r w:rsidRPr="00587A4E">
        <w:rPr>
          <w:rFonts w:hAnsi="新細明體" w:hint="eastAsia"/>
          <w:b/>
          <w:color w:val="auto"/>
        </w:rPr>
        <w:t>經費分配原則</w:t>
      </w:r>
    </w:p>
    <w:p w:rsidR="00925841" w:rsidRPr="00587A4E" w:rsidRDefault="00925841" w:rsidP="00925841">
      <w:pPr>
        <w:pStyle w:val="Default"/>
        <w:ind w:leftChars="5" w:left="947" w:hangingChars="389" w:hanging="935"/>
        <w:rPr>
          <w:rFonts w:hAnsi="新細明體"/>
          <w:color w:val="auto"/>
        </w:rPr>
      </w:pPr>
      <w:r w:rsidRPr="00587A4E">
        <w:rPr>
          <w:rFonts w:hAnsi="新細明體" w:hint="eastAsia"/>
          <w:b/>
          <w:color w:val="auto"/>
        </w:rPr>
        <w:t>第八條：</w:t>
      </w:r>
      <w:r w:rsidRPr="00587A4E">
        <w:rPr>
          <w:rFonts w:hAnsi="新細明體" w:hint="eastAsia"/>
          <w:color w:val="auto"/>
        </w:rPr>
        <w:t>【委辦課程】若由各</w:t>
      </w:r>
      <w:r w:rsidR="002358A2" w:rsidRPr="00587A4E">
        <w:rPr>
          <w:rFonts w:hAnsi="新細明體" w:hint="eastAsia"/>
          <w:color w:val="auto"/>
        </w:rPr>
        <w:t>單位</w:t>
      </w:r>
      <w:r w:rsidRPr="00587A4E">
        <w:rPr>
          <w:rFonts w:hAnsi="新細明體" w:hint="eastAsia"/>
          <w:color w:val="auto"/>
        </w:rPr>
        <w:t>對外接辦者，每一專案課程結束後，承辦單位應</w:t>
      </w:r>
      <w:proofErr w:type="gramStart"/>
      <w:r w:rsidRPr="00587A4E">
        <w:rPr>
          <w:rFonts w:hAnsi="新細明體" w:hint="eastAsia"/>
          <w:color w:val="auto"/>
        </w:rPr>
        <w:t>提撥</w:t>
      </w:r>
      <w:proofErr w:type="gramEnd"/>
      <w:r w:rsidRPr="00587A4E">
        <w:rPr>
          <w:rFonts w:hAnsi="新細明體" w:hint="eastAsia"/>
          <w:color w:val="auto"/>
        </w:rPr>
        <w:t>專案經費總額</w:t>
      </w:r>
      <w:r w:rsidRPr="00587A4E">
        <w:rPr>
          <w:rFonts w:hAnsi="新細明體"/>
          <w:color w:val="auto"/>
        </w:rPr>
        <w:t>10</w:t>
      </w:r>
      <w:r w:rsidRPr="00587A4E">
        <w:rPr>
          <w:rFonts w:hAnsi="新細明體" w:hint="eastAsia"/>
          <w:color w:val="auto"/>
        </w:rPr>
        <w:t>﹪予推廣</w:t>
      </w:r>
      <w:r w:rsidRPr="00587A4E">
        <w:rPr>
          <w:rFonts w:hint="eastAsia"/>
          <w:color w:val="auto"/>
        </w:rPr>
        <w:t>教育中心</w:t>
      </w:r>
      <w:r w:rsidRPr="00587A4E">
        <w:rPr>
          <w:rFonts w:hAnsi="新細明體" w:hint="eastAsia"/>
          <w:color w:val="auto"/>
        </w:rPr>
        <w:t>作為行政管理費用。</w:t>
      </w:r>
    </w:p>
    <w:p w:rsidR="00925841" w:rsidRPr="00587A4E" w:rsidRDefault="00925841" w:rsidP="00925841">
      <w:pPr>
        <w:pStyle w:val="Default"/>
        <w:ind w:left="992" w:hangingChars="413" w:hanging="992"/>
        <w:rPr>
          <w:rFonts w:hAnsi="新細明體"/>
          <w:b/>
          <w:color w:val="auto"/>
        </w:rPr>
      </w:pPr>
      <w:r w:rsidRPr="00587A4E">
        <w:rPr>
          <w:rFonts w:hAnsi="新細明體" w:hint="eastAsia"/>
          <w:b/>
          <w:color w:val="auto"/>
        </w:rPr>
        <w:t>第九條：開班依據</w:t>
      </w:r>
    </w:p>
    <w:p w:rsidR="00925841" w:rsidRPr="00587A4E" w:rsidRDefault="00925841" w:rsidP="00925841">
      <w:pPr>
        <w:pStyle w:val="Default"/>
        <w:ind w:leftChars="414" w:left="1359" w:hangingChars="152" w:hanging="365"/>
        <w:rPr>
          <w:rFonts w:hAnsi="新細明體"/>
          <w:color w:val="auto"/>
        </w:rPr>
      </w:pPr>
      <w:r w:rsidRPr="00587A4E">
        <w:rPr>
          <w:rFonts w:hAnsi="新細明體"/>
          <w:color w:val="auto"/>
        </w:rPr>
        <w:t xml:space="preserve">1. </w:t>
      </w:r>
      <w:r w:rsidRPr="00587A4E">
        <w:rPr>
          <w:rFonts w:hAnsi="新細明體" w:hint="eastAsia"/>
          <w:color w:val="auto"/>
        </w:rPr>
        <w:t>【委辦課程】之學分班，學士學分班招生人數須十五人以上；碩士學分班須十人以上</w:t>
      </w:r>
      <w:r w:rsidRPr="00587A4E">
        <w:rPr>
          <w:rFonts w:hAnsi="新細明體" w:hint="eastAsia"/>
          <w:color w:val="auto"/>
        </w:rPr>
        <w:lastRenderedPageBreak/>
        <w:t>始行開班。</w:t>
      </w:r>
      <w:r w:rsidRPr="00587A4E">
        <w:rPr>
          <w:rFonts w:hAnsi="新細明體"/>
          <w:color w:val="auto"/>
        </w:rPr>
        <w:t xml:space="preserve"> </w:t>
      </w:r>
    </w:p>
    <w:p w:rsidR="00925841" w:rsidRPr="00587A4E" w:rsidRDefault="00925841" w:rsidP="00925841">
      <w:pPr>
        <w:pStyle w:val="Default"/>
        <w:ind w:leftChars="414" w:left="1359" w:hangingChars="152" w:hanging="365"/>
        <w:rPr>
          <w:rFonts w:hAnsi="新細明體"/>
          <w:color w:val="auto"/>
        </w:rPr>
      </w:pPr>
      <w:r w:rsidRPr="00587A4E">
        <w:rPr>
          <w:rFonts w:hAnsi="新細明體"/>
          <w:color w:val="auto"/>
        </w:rPr>
        <w:t xml:space="preserve">2. </w:t>
      </w:r>
      <w:r w:rsidRPr="00587A4E">
        <w:rPr>
          <w:rFonts w:hAnsi="新細明體" w:hint="eastAsia"/>
          <w:color w:val="auto"/>
        </w:rPr>
        <w:t>【合辦課程】之非學分班，須報名繳費人數達到收支平衡始行開班。若因人數不足未能開班時，各系所可權宜選擇</w:t>
      </w:r>
      <w:proofErr w:type="gramStart"/>
      <w:r w:rsidRPr="00587A4E">
        <w:rPr>
          <w:rFonts w:hAnsi="新細明體" w:hint="eastAsia"/>
          <w:color w:val="auto"/>
        </w:rPr>
        <w:t>採</w:t>
      </w:r>
      <w:proofErr w:type="gramEnd"/>
      <w:r w:rsidRPr="00587A4E">
        <w:rPr>
          <w:rFonts w:hAnsi="新細明體" w:hint="eastAsia"/>
          <w:color w:val="auto"/>
        </w:rPr>
        <w:t>行隨</w:t>
      </w:r>
      <w:proofErr w:type="gramStart"/>
      <w:r w:rsidRPr="00587A4E">
        <w:rPr>
          <w:rFonts w:hAnsi="新細明體" w:hint="eastAsia"/>
          <w:color w:val="auto"/>
        </w:rPr>
        <w:t>班附</w:t>
      </w:r>
      <w:proofErr w:type="gramEnd"/>
      <w:r w:rsidRPr="00587A4E">
        <w:rPr>
          <w:rFonts w:hAnsi="新細明體" w:hint="eastAsia"/>
          <w:color w:val="auto"/>
        </w:rPr>
        <w:t>讀方式授課。</w:t>
      </w:r>
      <w:r w:rsidRPr="00587A4E">
        <w:rPr>
          <w:rFonts w:hAnsi="新細明體"/>
          <w:color w:val="auto"/>
        </w:rPr>
        <w:t xml:space="preserve"> </w:t>
      </w:r>
    </w:p>
    <w:p w:rsidR="00925841" w:rsidRPr="00587A4E" w:rsidRDefault="00925841" w:rsidP="00925841">
      <w:pPr>
        <w:pStyle w:val="Default"/>
        <w:ind w:left="992" w:hangingChars="413" w:hanging="992"/>
        <w:rPr>
          <w:rFonts w:hAnsi="新細明體"/>
          <w:b/>
          <w:color w:val="auto"/>
        </w:rPr>
      </w:pPr>
      <w:r w:rsidRPr="00587A4E">
        <w:rPr>
          <w:rFonts w:hAnsi="新細明體" w:hint="eastAsia"/>
          <w:b/>
          <w:color w:val="auto"/>
        </w:rPr>
        <w:t>第十條：經費分配</w:t>
      </w:r>
    </w:p>
    <w:p w:rsidR="00925841" w:rsidRPr="00587A4E" w:rsidRDefault="00925841" w:rsidP="00925841">
      <w:pPr>
        <w:pStyle w:val="Default"/>
        <w:ind w:leftChars="396" w:left="950" w:firstLine="1"/>
        <w:rPr>
          <w:rFonts w:hAnsi="標楷體"/>
          <w:color w:val="auto"/>
        </w:rPr>
      </w:pPr>
      <w:r w:rsidRPr="00587A4E">
        <w:rPr>
          <w:rFonts w:hAnsi="標楷體" w:hint="eastAsia"/>
          <w:color w:val="auto"/>
        </w:rPr>
        <w:t>【委辦課程】若係由推廣</w:t>
      </w:r>
      <w:r w:rsidRPr="00587A4E">
        <w:rPr>
          <w:rFonts w:hint="eastAsia"/>
          <w:color w:val="auto"/>
        </w:rPr>
        <w:t>教育中心</w:t>
      </w:r>
      <w:r w:rsidRPr="00587A4E">
        <w:rPr>
          <w:rFonts w:hAnsi="標楷體" w:hint="eastAsia"/>
          <w:color w:val="auto"/>
        </w:rPr>
        <w:t>接辦者，每一專案課程結束後，開班人數超過本辦法第九條所訂之人數時，就超過人數所收取之學分費和學雜費收入</w:t>
      </w:r>
      <w:proofErr w:type="gramStart"/>
      <w:r w:rsidRPr="00587A4E">
        <w:rPr>
          <w:rFonts w:hAnsi="標楷體" w:hint="eastAsia"/>
          <w:color w:val="auto"/>
        </w:rPr>
        <w:t>提撥</w:t>
      </w:r>
      <w:proofErr w:type="gramEnd"/>
      <w:r w:rsidRPr="00587A4E">
        <w:rPr>
          <w:rFonts w:hAnsi="標楷體" w:hint="eastAsia"/>
          <w:color w:val="auto"/>
        </w:rPr>
        <w:t>院</w:t>
      </w:r>
      <w:r w:rsidRPr="00587A4E">
        <w:rPr>
          <w:rFonts w:hAnsi="標楷體"/>
          <w:color w:val="auto"/>
        </w:rPr>
        <w:t>7.5%</w:t>
      </w:r>
      <w:r w:rsidRPr="00587A4E">
        <w:rPr>
          <w:rFonts w:hAnsi="標楷體" w:hint="eastAsia"/>
          <w:color w:val="auto"/>
        </w:rPr>
        <w:t>和系所</w:t>
      </w:r>
      <w:r w:rsidRPr="00587A4E">
        <w:rPr>
          <w:rFonts w:hAnsi="標楷體"/>
          <w:color w:val="auto"/>
        </w:rPr>
        <w:t>15%</w:t>
      </w:r>
      <w:r w:rsidR="00513176" w:rsidRPr="00587A4E">
        <w:rPr>
          <w:rFonts w:hAnsi="標楷體" w:hint="eastAsia"/>
          <w:color w:val="auto"/>
        </w:rPr>
        <w:t>，行政單位為22.5%</w:t>
      </w:r>
      <w:r w:rsidRPr="00587A4E">
        <w:rPr>
          <w:rFonts w:hAnsi="標楷體" w:hint="eastAsia"/>
          <w:color w:val="auto"/>
        </w:rPr>
        <w:t>交</w:t>
      </w:r>
      <w:r w:rsidR="00513176" w:rsidRPr="00587A4E">
        <w:rPr>
          <w:rFonts w:hAnsi="標楷體" w:hint="eastAsia"/>
          <w:color w:val="auto"/>
        </w:rPr>
        <w:t>由單位依</w:t>
      </w:r>
      <w:r w:rsidRPr="00587A4E">
        <w:rPr>
          <w:rFonts w:hAnsi="標楷體" w:hint="eastAsia"/>
          <w:color w:val="auto"/>
        </w:rPr>
        <w:t>發展基金辦法核銷使用之。</w:t>
      </w:r>
    </w:p>
    <w:p w:rsidR="00925841" w:rsidRPr="00587A4E" w:rsidRDefault="00925841" w:rsidP="00925841">
      <w:pPr>
        <w:pStyle w:val="Default"/>
        <w:ind w:leftChars="396" w:left="950" w:firstLine="1"/>
        <w:rPr>
          <w:rFonts w:hAnsi="標楷體"/>
          <w:color w:val="auto"/>
        </w:rPr>
      </w:pPr>
      <w:r w:rsidRPr="00587A4E">
        <w:rPr>
          <w:rFonts w:hAnsi="標楷體" w:hint="eastAsia"/>
          <w:color w:val="auto"/>
        </w:rPr>
        <w:t>【合辦課程】者，推廣</w:t>
      </w:r>
      <w:r w:rsidRPr="00587A4E">
        <w:rPr>
          <w:rFonts w:hint="eastAsia"/>
          <w:color w:val="auto"/>
        </w:rPr>
        <w:t>教育中心</w:t>
      </w:r>
      <w:r w:rsidRPr="00587A4E">
        <w:rPr>
          <w:rFonts w:hAnsi="標楷體" w:hint="eastAsia"/>
          <w:color w:val="auto"/>
        </w:rPr>
        <w:t>得</w:t>
      </w:r>
      <w:proofErr w:type="gramStart"/>
      <w:r w:rsidRPr="00587A4E">
        <w:rPr>
          <w:rFonts w:hAnsi="標楷體" w:hint="eastAsia"/>
          <w:color w:val="auto"/>
        </w:rPr>
        <w:t>就學分費和</w:t>
      </w:r>
      <w:proofErr w:type="gramEnd"/>
      <w:r w:rsidRPr="00587A4E">
        <w:rPr>
          <w:rFonts w:hAnsi="標楷體" w:hint="eastAsia"/>
          <w:color w:val="auto"/>
        </w:rPr>
        <w:t>學雜費收入</w:t>
      </w:r>
      <w:proofErr w:type="gramStart"/>
      <w:r w:rsidRPr="00587A4E">
        <w:rPr>
          <w:rFonts w:hAnsi="標楷體" w:hint="eastAsia"/>
          <w:color w:val="auto"/>
        </w:rPr>
        <w:t>提撥</w:t>
      </w:r>
      <w:proofErr w:type="gramEnd"/>
      <w:r w:rsidR="003E7F99">
        <w:rPr>
          <w:rFonts w:hAnsi="標楷體" w:hint="eastAsia"/>
          <w:color w:val="auto"/>
        </w:rPr>
        <w:t>院</w:t>
      </w:r>
      <w:r w:rsidR="00E76F70" w:rsidRPr="00587A4E">
        <w:rPr>
          <w:rFonts w:hAnsi="標楷體" w:hint="eastAsia"/>
          <w:color w:val="auto"/>
        </w:rPr>
        <w:t>1</w:t>
      </w:r>
      <w:r w:rsidRPr="00587A4E">
        <w:rPr>
          <w:rFonts w:hAnsi="標楷體"/>
          <w:color w:val="auto"/>
        </w:rPr>
        <w:t>2.5%</w:t>
      </w:r>
      <w:r w:rsidRPr="00587A4E">
        <w:rPr>
          <w:rFonts w:hAnsi="標楷體" w:hint="eastAsia"/>
          <w:color w:val="auto"/>
        </w:rPr>
        <w:t>和系所</w:t>
      </w:r>
      <w:r w:rsidRPr="00587A4E">
        <w:rPr>
          <w:rFonts w:hAnsi="標楷體"/>
          <w:color w:val="auto"/>
        </w:rPr>
        <w:t>15%</w:t>
      </w:r>
      <w:r w:rsidR="00513176" w:rsidRPr="00587A4E">
        <w:rPr>
          <w:rFonts w:hAnsi="標楷體" w:hint="eastAsia"/>
          <w:color w:val="auto"/>
        </w:rPr>
        <w:t>，</w:t>
      </w:r>
      <w:r w:rsidR="008C5C7A" w:rsidRPr="00587A4E">
        <w:rPr>
          <w:rFonts w:hAnsi="標楷體" w:hint="eastAsia"/>
          <w:color w:val="auto"/>
        </w:rPr>
        <w:t>行政單位為2</w:t>
      </w:r>
      <w:r w:rsidR="00513176" w:rsidRPr="00587A4E">
        <w:rPr>
          <w:rFonts w:hAnsi="標楷體" w:hint="eastAsia"/>
          <w:color w:val="auto"/>
        </w:rPr>
        <w:t>7</w:t>
      </w:r>
      <w:r w:rsidR="008C5C7A" w:rsidRPr="00587A4E">
        <w:rPr>
          <w:rFonts w:hAnsi="標楷體" w:hint="eastAsia"/>
          <w:color w:val="auto"/>
        </w:rPr>
        <w:t>.5%</w:t>
      </w:r>
      <w:r w:rsidRPr="00587A4E">
        <w:rPr>
          <w:rFonts w:hAnsi="標楷體" w:hint="eastAsia"/>
          <w:color w:val="auto"/>
        </w:rPr>
        <w:t>交由</w:t>
      </w:r>
      <w:r w:rsidR="00513176" w:rsidRPr="00587A4E">
        <w:rPr>
          <w:rFonts w:hAnsi="標楷體" w:hint="eastAsia"/>
          <w:color w:val="auto"/>
        </w:rPr>
        <w:t>單位依</w:t>
      </w:r>
      <w:r w:rsidRPr="00587A4E">
        <w:rPr>
          <w:rFonts w:hAnsi="標楷體" w:hint="eastAsia"/>
          <w:color w:val="auto"/>
        </w:rPr>
        <w:t>發展基金辦法核銷使用之；另</w:t>
      </w:r>
      <w:proofErr w:type="gramStart"/>
      <w:r w:rsidRPr="00587A4E">
        <w:rPr>
          <w:rFonts w:hAnsi="標楷體" w:hint="eastAsia"/>
          <w:color w:val="auto"/>
        </w:rPr>
        <w:t>提撥</w:t>
      </w:r>
      <w:proofErr w:type="gramEnd"/>
      <w:r w:rsidRPr="00587A4E">
        <w:rPr>
          <w:rFonts w:hAnsi="標楷體" w:hint="eastAsia"/>
          <w:color w:val="auto"/>
        </w:rPr>
        <w:t>學分費和學雜費收入</w:t>
      </w:r>
      <w:r w:rsidRPr="00587A4E">
        <w:rPr>
          <w:rFonts w:hAnsi="標楷體"/>
          <w:color w:val="auto"/>
        </w:rPr>
        <w:t>25%</w:t>
      </w:r>
      <w:r w:rsidRPr="00587A4E">
        <w:rPr>
          <w:rFonts w:hAnsi="標楷體" w:hint="eastAsia"/>
          <w:color w:val="auto"/>
        </w:rPr>
        <w:t>予授課教師，費用待授課教師給予成績後請款核銷。</w:t>
      </w:r>
    </w:p>
    <w:p w:rsidR="00925841" w:rsidRPr="00587A4E" w:rsidRDefault="00925841" w:rsidP="00925841">
      <w:pPr>
        <w:pStyle w:val="Default"/>
        <w:ind w:left="992" w:hangingChars="413" w:hanging="992"/>
        <w:rPr>
          <w:rFonts w:hAnsi="新細明體"/>
          <w:b/>
          <w:color w:val="auto"/>
        </w:rPr>
      </w:pPr>
      <w:r w:rsidRPr="00587A4E">
        <w:rPr>
          <w:rFonts w:hAnsi="新細明體" w:hint="eastAsia"/>
          <w:b/>
          <w:color w:val="auto"/>
        </w:rPr>
        <w:t>第十一條：學分班收費項目</w:t>
      </w:r>
    </w:p>
    <w:p w:rsidR="00925841" w:rsidRPr="00587A4E" w:rsidRDefault="00925841" w:rsidP="00925841">
      <w:pPr>
        <w:pStyle w:val="Default"/>
        <w:ind w:leftChars="414" w:left="1359" w:hangingChars="152" w:hanging="365"/>
        <w:rPr>
          <w:rFonts w:hAnsi="新細明體"/>
          <w:color w:val="auto"/>
        </w:rPr>
      </w:pPr>
      <w:r w:rsidRPr="00587A4E">
        <w:rPr>
          <w:rFonts w:hAnsi="新細明體"/>
          <w:color w:val="auto"/>
        </w:rPr>
        <w:t xml:space="preserve">1. </w:t>
      </w:r>
      <w:r w:rsidRPr="00587A4E">
        <w:rPr>
          <w:rFonts w:hAnsi="新細明體" w:hint="eastAsia"/>
          <w:color w:val="auto"/>
        </w:rPr>
        <w:t>報名費為推廣</w:t>
      </w:r>
      <w:r w:rsidRPr="00587A4E">
        <w:rPr>
          <w:rFonts w:hint="eastAsia"/>
          <w:color w:val="auto"/>
        </w:rPr>
        <w:t>教育中心</w:t>
      </w:r>
      <w:r w:rsidRPr="00587A4E">
        <w:rPr>
          <w:rFonts w:hAnsi="新細明體" w:hint="eastAsia"/>
          <w:color w:val="auto"/>
        </w:rPr>
        <w:t>辦理報名作業時之相關行政費用。</w:t>
      </w:r>
      <w:r w:rsidRPr="00587A4E">
        <w:rPr>
          <w:rFonts w:hAnsi="新細明體"/>
          <w:color w:val="auto"/>
        </w:rPr>
        <w:t xml:space="preserve"> </w:t>
      </w:r>
    </w:p>
    <w:p w:rsidR="00925841" w:rsidRPr="00587A4E" w:rsidRDefault="00925841" w:rsidP="00925841">
      <w:pPr>
        <w:pStyle w:val="Default"/>
        <w:ind w:leftChars="414" w:left="1359" w:hangingChars="152" w:hanging="365"/>
        <w:rPr>
          <w:rFonts w:hAnsi="新細明體"/>
          <w:color w:val="auto"/>
        </w:rPr>
      </w:pPr>
      <w:r w:rsidRPr="00587A4E">
        <w:rPr>
          <w:rFonts w:hAnsi="新細明體"/>
          <w:color w:val="auto"/>
        </w:rPr>
        <w:t xml:space="preserve">2. </w:t>
      </w:r>
      <w:r w:rsidRPr="00587A4E">
        <w:rPr>
          <w:rFonts w:hAnsi="新細明體" w:hint="eastAsia"/>
          <w:color w:val="auto"/>
        </w:rPr>
        <w:t>雜費為推廣</w:t>
      </w:r>
      <w:r w:rsidRPr="00587A4E">
        <w:rPr>
          <w:rFonts w:hint="eastAsia"/>
          <w:color w:val="auto"/>
        </w:rPr>
        <w:t>教育中心</w:t>
      </w:r>
      <w:r w:rsidRPr="00587A4E">
        <w:rPr>
          <w:rFonts w:hAnsi="新細明體" w:hint="eastAsia"/>
          <w:color w:val="auto"/>
        </w:rPr>
        <w:t>及開課系所辦理課程所需之管銷費用。</w:t>
      </w:r>
      <w:r w:rsidRPr="00587A4E">
        <w:rPr>
          <w:rFonts w:hAnsi="新細明體"/>
          <w:color w:val="auto"/>
        </w:rPr>
        <w:t xml:space="preserve"> </w:t>
      </w:r>
    </w:p>
    <w:p w:rsidR="00925841" w:rsidRPr="00587A4E" w:rsidRDefault="00925841" w:rsidP="00925841">
      <w:pPr>
        <w:pStyle w:val="Default"/>
        <w:ind w:leftChars="414" w:left="1359" w:hangingChars="152" w:hanging="365"/>
        <w:rPr>
          <w:rFonts w:hAnsi="新細明體"/>
          <w:color w:val="auto"/>
        </w:rPr>
      </w:pPr>
      <w:r w:rsidRPr="00587A4E">
        <w:rPr>
          <w:rFonts w:hAnsi="新細明體"/>
          <w:color w:val="auto"/>
        </w:rPr>
        <w:t xml:space="preserve">3. </w:t>
      </w:r>
      <w:r w:rsidRPr="00587A4E">
        <w:rPr>
          <w:rFonts w:hAnsi="新細明體" w:hint="eastAsia"/>
          <w:color w:val="auto"/>
        </w:rPr>
        <w:t>學分費為教師鐘點費、課程設計費、教室水電租金等費用。</w:t>
      </w:r>
      <w:r w:rsidRPr="00587A4E">
        <w:rPr>
          <w:rFonts w:hAnsi="新細明體"/>
          <w:color w:val="auto"/>
        </w:rPr>
        <w:t xml:space="preserve"> </w:t>
      </w:r>
    </w:p>
    <w:p w:rsidR="00925841" w:rsidRPr="00587A4E" w:rsidRDefault="00925841" w:rsidP="00925841">
      <w:pPr>
        <w:pStyle w:val="Default"/>
        <w:ind w:leftChars="414" w:left="1359" w:hangingChars="152" w:hanging="365"/>
        <w:rPr>
          <w:rFonts w:hAnsi="新細明體"/>
          <w:color w:val="auto"/>
        </w:rPr>
      </w:pPr>
      <w:r w:rsidRPr="00587A4E">
        <w:rPr>
          <w:rFonts w:hAnsi="新細明體"/>
          <w:color w:val="auto"/>
        </w:rPr>
        <w:t xml:space="preserve">4. </w:t>
      </w:r>
      <w:r w:rsidRPr="00587A4E">
        <w:rPr>
          <w:rFonts w:hAnsi="新細明體" w:hint="eastAsia"/>
          <w:color w:val="auto"/>
        </w:rPr>
        <w:t>實習費為應課程所需使用實習設備之維護費用（收費標準依校方規定另行收取）。</w:t>
      </w:r>
      <w:r w:rsidRPr="00587A4E">
        <w:rPr>
          <w:rFonts w:hAnsi="新細明體"/>
          <w:color w:val="auto"/>
        </w:rPr>
        <w:t xml:space="preserve"> </w:t>
      </w:r>
    </w:p>
    <w:p w:rsidR="00925841" w:rsidRPr="00587A4E" w:rsidRDefault="00925841" w:rsidP="00925841">
      <w:pPr>
        <w:pStyle w:val="Default"/>
        <w:ind w:left="992" w:hangingChars="413" w:hanging="992"/>
        <w:rPr>
          <w:rFonts w:hAnsi="新細明體"/>
          <w:b/>
          <w:color w:val="auto"/>
        </w:rPr>
      </w:pPr>
      <w:r w:rsidRPr="00587A4E">
        <w:rPr>
          <w:rFonts w:hAnsi="新細明體" w:hint="eastAsia"/>
          <w:b/>
          <w:color w:val="auto"/>
        </w:rPr>
        <w:t>第十二條：業務發展基金</w:t>
      </w:r>
    </w:p>
    <w:p w:rsidR="00925841" w:rsidRPr="00587A4E" w:rsidRDefault="00925841" w:rsidP="00925841">
      <w:pPr>
        <w:pStyle w:val="Default"/>
        <w:ind w:leftChars="414" w:left="1359" w:hangingChars="152" w:hanging="365"/>
        <w:rPr>
          <w:rFonts w:hAnsi="新細明體"/>
          <w:color w:val="auto"/>
        </w:rPr>
      </w:pPr>
      <w:r w:rsidRPr="00587A4E">
        <w:rPr>
          <w:rFonts w:hAnsi="新細明體" w:hint="eastAsia"/>
          <w:color w:val="auto"/>
        </w:rPr>
        <w:t>單位的業務發展基金可核銷支出項目如下：</w:t>
      </w:r>
    </w:p>
    <w:p w:rsidR="00925841" w:rsidRPr="00587A4E" w:rsidRDefault="00925841" w:rsidP="00925841">
      <w:pPr>
        <w:pStyle w:val="Default"/>
        <w:ind w:leftChars="414" w:left="1359" w:hangingChars="152" w:hanging="365"/>
        <w:rPr>
          <w:rFonts w:hAnsi="新細明體"/>
          <w:color w:val="auto"/>
        </w:rPr>
      </w:pPr>
      <w:r w:rsidRPr="00587A4E">
        <w:rPr>
          <w:rFonts w:hAnsi="新細明體"/>
          <w:color w:val="auto"/>
        </w:rPr>
        <w:t xml:space="preserve">1. </w:t>
      </w:r>
      <w:r w:rsidRPr="00587A4E">
        <w:rPr>
          <w:rFonts w:hAnsi="新細明體" w:hint="eastAsia"/>
          <w:color w:val="auto"/>
        </w:rPr>
        <w:t>教學及學術活動之補助</w:t>
      </w:r>
      <w:r w:rsidRPr="00587A4E">
        <w:rPr>
          <w:rFonts w:hAnsi="新細明體"/>
          <w:color w:val="auto"/>
        </w:rPr>
        <w:t xml:space="preserve"> </w:t>
      </w:r>
    </w:p>
    <w:p w:rsidR="00925841" w:rsidRPr="00587A4E" w:rsidRDefault="00925841" w:rsidP="00925841">
      <w:pPr>
        <w:pStyle w:val="Default"/>
        <w:ind w:leftChars="414" w:left="1359" w:hangingChars="152" w:hanging="365"/>
        <w:rPr>
          <w:rFonts w:hAnsi="新細明體"/>
          <w:color w:val="auto"/>
        </w:rPr>
      </w:pPr>
      <w:r w:rsidRPr="00587A4E">
        <w:rPr>
          <w:rFonts w:hAnsi="新細明體"/>
          <w:color w:val="auto"/>
        </w:rPr>
        <w:t xml:space="preserve">2. </w:t>
      </w:r>
      <w:r w:rsidRPr="00587A4E">
        <w:rPr>
          <w:rFonts w:hAnsi="新細明體" w:hint="eastAsia"/>
          <w:color w:val="auto"/>
        </w:rPr>
        <w:t>新生註冊率之提高</w:t>
      </w:r>
      <w:r w:rsidRPr="00587A4E">
        <w:rPr>
          <w:rFonts w:hAnsi="新細明體"/>
          <w:color w:val="auto"/>
        </w:rPr>
        <w:t xml:space="preserve"> </w:t>
      </w:r>
    </w:p>
    <w:p w:rsidR="00925841" w:rsidRPr="00587A4E" w:rsidRDefault="00925841" w:rsidP="00925841">
      <w:pPr>
        <w:pStyle w:val="Default"/>
        <w:ind w:leftChars="414" w:left="1359" w:hangingChars="152" w:hanging="365"/>
        <w:rPr>
          <w:rFonts w:hAnsi="新細明體"/>
          <w:color w:val="auto"/>
        </w:rPr>
      </w:pPr>
      <w:r w:rsidRPr="00587A4E">
        <w:rPr>
          <w:rFonts w:hAnsi="新細明體"/>
          <w:color w:val="auto"/>
        </w:rPr>
        <w:t xml:space="preserve">3. </w:t>
      </w:r>
      <w:r w:rsidRPr="00587A4E">
        <w:rPr>
          <w:rFonts w:hAnsi="新細明體" w:hint="eastAsia"/>
          <w:color w:val="auto"/>
        </w:rPr>
        <w:t>相關人員之奨勵等補助項目。</w:t>
      </w:r>
      <w:r w:rsidRPr="00587A4E">
        <w:rPr>
          <w:rFonts w:hAnsi="新細明體"/>
          <w:color w:val="auto"/>
        </w:rPr>
        <w:t xml:space="preserve"> </w:t>
      </w:r>
    </w:p>
    <w:p w:rsidR="00702523" w:rsidRPr="00587A4E" w:rsidRDefault="00925841" w:rsidP="00C902C5">
      <w:pPr>
        <w:pStyle w:val="Default"/>
        <w:ind w:left="992" w:hangingChars="413" w:hanging="992"/>
        <w:rPr>
          <w:color w:val="auto"/>
        </w:rPr>
      </w:pPr>
      <w:r w:rsidRPr="00587A4E">
        <w:rPr>
          <w:rFonts w:hAnsi="新細明體" w:hint="eastAsia"/>
          <w:b/>
          <w:color w:val="auto"/>
        </w:rPr>
        <w:t>第十三條：</w:t>
      </w:r>
      <w:r w:rsidRPr="00587A4E">
        <w:rPr>
          <w:color w:val="auto"/>
        </w:rPr>
        <w:t xml:space="preserve"> </w:t>
      </w:r>
      <w:r w:rsidRPr="00587A4E">
        <w:rPr>
          <w:rFonts w:hAnsi="標楷體" w:cs="新細明體" w:hint="eastAsia"/>
          <w:color w:val="auto"/>
        </w:rPr>
        <w:t>本辦法經行政會議通過，報請校長核定後公布實施。修正時亦同。</w:t>
      </w:r>
      <w:r w:rsidRPr="00587A4E">
        <w:rPr>
          <w:color w:val="auto"/>
        </w:rPr>
        <w:br/>
      </w:r>
      <w:r w:rsidRPr="00587A4E">
        <w:rPr>
          <w:rFonts w:hAnsi="標楷體" w:cs="新細明體" w:hint="eastAsia"/>
          <w:color w:val="auto"/>
        </w:rPr>
        <w:t>本辦法於中華民國109年12月10日修正之條文，自109學年度第一學期起試行至111學年度第二學期止。</w:t>
      </w:r>
    </w:p>
    <w:sectPr w:rsidR="00702523" w:rsidRPr="00587A4E" w:rsidSect="0042188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4C5" w:rsidRDefault="008034C5" w:rsidP="006614FE">
      <w:r>
        <w:separator/>
      </w:r>
    </w:p>
  </w:endnote>
  <w:endnote w:type="continuationSeparator" w:id="0">
    <w:p w:rsidR="008034C5" w:rsidRDefault="008034C5" w:rsidP="0066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4C5" w:rsidRDefault="008034C5" w:rsidP="006614FE">
      <w:r>
        <w:separator/>
      </w:r>
    </w:p>
  </w:footnote>
  <w:footnote w:type="continuationSeparator" w:id="0">
    <w:p w:rsidR="008034C5" w:rsidRDefault="008034C5" w:rsidP="00661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5A41"/>
    <w:multiLevelType w:val="hybridMultilevel"/>
    <w:tmpl w:val="980EEF48"/>
    <w:lvl w:ilvl="0" w:tplc="CF7E9F60">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7463A8E"/>
    <w:multiLevelType w:val="hybridMultilevel"/>
    <w:tmpl w:val="BC686C36"/>
    <w:lvl w:ilvl="0" w:tplc="DD466B88">
      <w:start w:val="1"/>
      <w:numFmt w:val="taiwaneseCountingThousand"/>
      <w:lvlText w:val="%1、"/>
      <w:lvlJc w:val="left"/>
      <w:pPr>
        <w:ind w:left="735" w:hanging="720"/>
      </w:pPr>
      <w:rPr>
        <w:rFonts w:hint="default"/>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2" w15:restartNumberingAfterBreak="0">
    <w:nsid w:val="441934EF"/>
    <w:multiLevelType w:val="hybridMultilevel"/>
    <w:tmpl w:val="0C02F780"/>
    <w:lvl w:ilvl="0" w:tplc="04090015">
      <w:start w:val="1"/>
      <w:numFmt w:val="taiwaneseCountingThousand"/>
      <w:lvlText w:val="%1、"/>
      <w:lvlJc w:val="left"/>
      <w:pPr>
        <w:ind w:left="495" w:hanging="480"/>
      </w:p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3" w15:restartNumberingAfterBreak="0">
    <w:nsid w:val="4999411C"/>
    <w:multiLevelType w:val="hybridMultilevel"/>
    <w:tmpl w:val="0C02F780"/>
    <w:lvl w:ilvl="0" w:tplc="04090015">
      <w:start w:val="1"/>
      <w:numFmt w:val="taiwaneseCountingThousand"/>
      <w:lvlText w:val="%1、"/>
      <w:lvlJc w:val="left"/>
      <w:pPr>
        <w:ind w:left="495" w:hanging="480"/>
      </w:p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523"/>
    <w:rsid w:val="00067580"/>
    <w:rsid w:val="00067A14"/>
    <w:rsid w:val="000A1953"/>
    <w:rsid w:val="000D0558"/>
    <w:rsid w:val="000D707C"/>
    <w:rsid w:val="000E31BF"/>
    <w:rsid w:val="000E79CB"/>
    <w:rsid w:val="000E7DCC"/>
    <w:rsid w:val="001145DD"/>
    <w:rsid w:val="001468D4"/>
    <w:rsid w:val="001A11DA"/>
    <w:rsid w:val="002358A2"/>
    <w:rsid w:val="00276A30"/>
    <w:rsid w:val="002A256C"/>
    <w:rsid w:val="00322E10"/>
    <w:rsid w:val="0038059B"/>
    <w:rsid w:val="0039570C"/>
    <w:rsid w:val="003D371E"/>
    <w:rsid w:val="003E7F99"/>
    <w:rsid w:val="0040300D"/>
    <w:rsid w:val="0042188B"/>
    <w:rsid w:val="0048696F"/>
    <w:rsid w:val="00513176"/>
    <w:rsid w:val="005149E4"/>
    <w:rsid w:val="00532F73"/>
    <w:rsid w:val="00587A4E"/>
    <w:rsid w:val="005A57A7"/>
    <w:rsid w:val="005C591A"/>
    <w:rsid w:val="005D5BEE"/>
    <w:rsid w:val="00614E1A"/>
    <w:rsid w:val="00653520"/>
    <w:rsid w:val="006614FE"/>
    <w:rsid w:val="006675AE"/>
    <w:rsid w:val="006F559C"/>
    <w:rsid w:val="00702523"/>
    <w:rsid w:val="007217F7"/>
    <w:rsid w:val="0076762B"/>
    <w:rsid w:val="008034C5"/>
    <w:rsid w:val="00815349"/>
    <w:rsid w:val="00883E4D"/>
    <w:rsid w:val="008C5C7A"/>
    <w:rsid w:val="008D61AA"/>
    <w:rsid w:val="008D6E8C"/>
    <w:rsid w:val="00925841"/>
    <w:rsid w:val="009413BF"/>
    <w:rsid w:val="00987873"/>
    <w:rsid w:val="00A25D0C"/>
    <w:rsid w:val="00B068E3"/>
    <w:rsid w:val="00B60700"/>
    <w:rsid w:val="00B75488"/>
    <w:rsid w:val="00BB3320"/>
    <w:rsid w:val="00BE327E"/>
    <w:rsid w:val="00C40B4A"/>
    <w:rsid w:val="00C902C5"/>
    <w:rsid w:val="00CC0269"/>
    <w:rsid w:val="00D51BE4"/>
    <w:rsid w:val="00D66B2F"/>
    <w:rsid w:val="00D91FC3"/>
    <w:rsid w:val="00E46F00"/>
    <w:rsid w:val="00E5298F"/>
    <w:rsid w:val="00E76F70"/>
    <w:rsid w:val="00EA0330"/>
    <w:rsid w:val="00EB2DA3"/>
    <w:rsid w:val="00EB7F59"/>
    <w:rsid w:val="00F12FEB"/>
    <w:rsid w:val="00F3080A"/>
    <w:rsid w:val="00F31A4C"/>
    <w:rsid w:val="00F968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1C146"/>
  <w15:chartTrackingRefBased/>
  <w15:docId w15:val="{C3108EE5-F950-4A82-B429-26064A60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696F"/>
    <w:pPr>
      <w:widowControl w:val="0"/>
    </w:pPr>
  </w:style>
  <w:style w:type="paragraph" w:styleId="1">
    <w:name w:val="heading 1"/>
    <w:basedOn w:val="a"/>
    <w:link w:val="10"/>
    <w:uiPriority w:val="9"/>
    <w:qFormat/>
    <w:rsid w:val="00CC0269"/>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unhideWhenUsed/>
    <w:qFormat/>
    <w:rsid w:val="00F12FEB"/>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702523"/>
    <w:pPr>
      <w:widowControl w:val="0"/>
      <w:autoSpaceDE w:val="0"/>
      <w:autoSpaceDN w:val="0"/>
      <w:adjustRightInd w:val="0"/>
    </w:pPr>
    <w:rPr>
      <w:rFonts w:ascii="標楷體" w:eastAsia="標楷體" w:hAnsi="Calibri" w:cs="標楷體"/>
      <w:color w:val="000000"/>
      <w:kern w:val="0"/>
      <w:szCs w:val="24"/>
    </w:rPr>
  </w:style>
  <w:style w:type="paragraph" w:styleId="a3">
    <w:name w:val="header"/>
    <w:basedOn w:val="a"/>
    <w:link w:val="a4"/>
    <w:uiPriority w:val="99"/>
    <w:unhideWhenUsed/>
    <w:rsid w:val="006614FE"/>
    <w:pPr>
      <w:tabs>
        <w:tab w:val="center" w:pos="4153"/>
        <w:tab w:val="right" w:pos="8306"/>
      </w:tabs>
      <w:snapToGrid w:val="0"/>
    </w:pPr>
    <w:rPr>
      <w:sz w:val="20"/>
      <w:szCs w:val="20"/>
    </w:rPr>
  </w:style>
  <w:style w:type="character" w:customStyle="1" w:styleId="a4">
    <w:name w:val="頁首 字元"/>
    <w:basedOn w:val="a0"/>
    <w:link w:val="a3"/>
    <w:uiPriority w:val="99"/>
    <w:rsid w:val="006614FE"/>
    <w:rPr>
      <w:sz w:val="20"/>
      <w:szCs w:val="20"/>
    </w:rPr>
  </w:style>
  <w:style w:type="paragraph" w:styleId="a5">
    <w:name w:val="footer"/>
    <w:basedOn w:val="a"/>
    <w:link w:val="a6"/>
    <w:uiPriority w:val="99"/>
    <w:unhideWhenUsed/>
    <w:rsid w:val="006614FE"/>
    <w:pPr>
      <w:tabs>
        <w:tab w:val="center" w:pos="4153"/>
        <w:tab w:val="right" w:pos="8306"/>
      </w:tabs>
      <w:snapToGrid w:val="0"/>
    </w:pPr>
    <w:rPr>
      <w:sz w:val="20"/>
      <w:szCs w:val="20"/>
    </w:rPr>
  </w:style>
  <w:style w:type="character" w:customStyle="1" w:styleId="a6">
    <w:name w:val="頁尾 字元"/>
    <w:basedOn w:val="a0"/>
    <w:link w:val="a5"/>
    <w:uiPriority w:val="99"/>
    <w:rsid w:val="006614FE"/>
    <w:rPr>
      <w:sz w:val="20"/>
      <w:szCs w:val="20"/>
    </w:rPr>
  </w:style>
  <w:style w:type="paragraph" w:styleId="a7">
    <w:name w:val="List Paragraph"/>
    <w:basedOn w:val="a"/>
    <w:link w:val="a8"/>
    <w:uiPriority w:val="34"/>
    <w:qFormat/>
    <w:rsid w:val="009413BF"/>
    <w:pPr>
      <w:ind w:leftChars="200" w:left="480"/>
    </w:pPr>
  </w:style>
  <w:style w:type="character" w:customStyle="1" w:styleId="a8">
    <w:name w:val="清單段落 字元"/>
    <w:link w:val="a7"/>
    <w:uiPriority w:val="34"/>
    <w:locked/>
    <w:rsid w:val="000A1953"/>
  </w:style>
  <w:style w:type="character" w:customStyle="1" w:styleId="10">
    <w:name w:val="標題 1 字元"/>
    <w:basedOn w:val="a0"/>
    <w:link w:val="1"/>
    <w:uiPriority w:val="9"/>
    <w:rsid w:val="00CC0269"/>
    <w:rPr>
      <w:rFonts w:ascii="新細明體" w:eastAsia="新細明體" w:hAnsi="新細明體" w:cs="新細明體"/>
      <w:b/>
      <w:bCs/>
      <w:kern w:val="36"/>
      <w:sz w:val="48"/>
      <w:szCs w:val="48"/>
    </w:rPr>
  </w:style>
  <w:style w:type="paragraph" w:styleId="a9">
    <w:name w:val="Balloon Text"/>
    <w:basedOn w:val="a"/>
    <w:link w:val="aa"/>
    <w:uiPriority w:val="99"/>
    <w:semiHidden/>
    <w:unhideWhenUsed/>
    <w:rsid w:val="00E46F0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46F00"/>
    <w:rPr>
      <w:rFonts w:asciiTheme="majorHAnsi" w:eastAsiaTheme="majorEastAsia" w:hAnsiTheme="majorHAnsi" w:cstheme="majorBidi"/>
      <w:sz w:val="18"/>
      <w:szCs w:val="18"/>
    </w:rPr>
  </w:style>
  <w:style w:type="table" w:styleId="ab">
    <w:name w:val="Table Grid"/>
    <w:basedOn w:val="a1"/>
    <w:uiPriority w:val="39"/>
    <w:rsid w:val="00815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F12FEB"/>
    <w:rPr>
      <w:rFonts w:asciiTheme="majorHAnsi" w:eastAsiaTheme="majorEastAsia" w:hAnsiTheme="majorHAnsi" w:cstheme="majorBidi"/>
      <w:b/>
      <w:bCs/>
      <w:sz w:val="48"/>
      <w:szCs w:val="48"/>
    </w:rPr>
  </w:style>
  <w:style w:type="character" w:styleId="ac">
    <w:name w:val="Hyperlink"/>
    <w:basedOn w:val="a0"/>
    <w:uiPriority w:val="99"/>
    <w:semiHidden/>
    <w:unhideWhenUsed/>
    <w:rsid w:val="00F12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58651">
      <w:bodyDiv w:val="1"/>
      <w:marLeft w:val="0"/>
      <w:marRight w:val="0"/>
      <w:marTop w:val="0"/>
      <w:marBottom w:val="0"/>
      <w:divBdr>
        <w:top w:val="none" w:sz="0" w:space="0" w:color="auto"/>
        <w:left w:val="none" w:sz="0" w:space="0" w:color="auto"/>
        <w:bottom w:val="none" w:sz="0" w:space="0" w:color="auto"/>
        <w:right w:val="none" w:sz="0" w:space="0" w:color="auto"/>
      </w:divBdr>
    </w:div>
    <w:div w:id="1058940060">
      <w:bodyDiv w:val="1"/>
      <w:marLeft w:val="0"/>
      <w:marRight w:val="0"/>
      <w:marTop w:val="0"/>
      <w:marBottom w:val="0"/>
      <w:divBdr>
        <w:top w:val="none" w:sz="0" w:space="0" w:color="auto"/>
        <w:left w:val="none" w:sz="0" w:space="0" w:color="auto"/>
        <w:bottom w:val="none" w:sz="0" w:space="0" w:color="auto"/>
        <w:right w:val="none" w:sz="0" w:space="0" w:color="auto"/>
      </w:divBdr>
    </w:div>
    <w:div w:id="203057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潘榮吉</dc:creator>
  <cp:keywords/>
  <dc:description/>
  <cp:lastModifiedBy>潘榮吉</cp:lastModifiedBy>
  <cp:revision>4</cp:revision>
  <cp:lastPrinted>2021-04-26T10:51:00Z</cp:lastPrinted>
  <dcterms:created xsi:type="dcterms:W3CDTF">2021-06-28T03:59:00Z</dcterms:created>
  <dcterms:modified xsi:type="dcterms:W3CDTF">2021-07-01T06:27:00Z</dcterms:modified>
</cp:coreProperties>
</file>